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73063106" w:rsidR="001C2343" w:rsidRPr="00110631" w:rsidRDefault="0029073C" w:rsidP="0029073C">
      <w:pPr>
        <w:spacing w:after="0" w:line="240" w:lineRule="auto"/>
        <w:jc w:val="center"/>
        <w:rPr>
          <w:rFonts w:ascii="Times New Roman" w:eastAsia="Times New Roman" w:hAnsi="Times New Roman" w:cs="Times New Roman"/>
          <w:i/>
          <w:u w:val="single"/>
          <w:lang w:val="ro-RO" w:eastAsia="ru-RU"/>
        </w:rPr>
      </w:pPr>
      <w:r w:rsidRPr="00110631">
        <w:rPr>
          <w:rFonts w:ascii="Times New Roman" w:eastAsia="Times New Roman" w:hAnsi="Times New Roman" w:cs="Times New Roman"/>
          <w:b/>
          <w:i/>
          <w:sz w:val="24"/>
          <w:szCs w:val="24"/>
          <w:u w:val="single"/>
          <w:lang w:val="ro-RO" w:eastAsia="ru-RU"/>
        </w:rPr>
        <w:t xml:space="preserve">specialist principal </w:t>
      </w:r>
      <w:r w:rsidR="001B68F3">
        <w:rPr>
          <w:rFonts w:ascii="Times New Roman" w:eastAsia="Times New Roman" w:hAnsi="Times New Roman" w:cs="Times New Roman"/>
          <w:i/>
          <w:sz w:val="24"/>
          <w:szCs w:val="24"/>
          <w:u w:val="single"/>
          <w:lang w:val="ro-RO" w:eastAsia="ru-RU"/>
        </w:rPr>
        <w:t>la</w:t>
      </w:r>
      <w:r w:rsidRPr="00110631">
        <w:rPr>
          <w:rFonts w:ascii="Times New Roman" w:eastAsia="Times New Roman" w:hAnsi="Times New Roman" w:cs="Times New Roman"/>
          <w:i/>
          <w:u w:val="single"/>
          <w:lang w:val="ro-RO" w:eastAsia="ru-RU"/>
        </w:rPr>
        <w:t xml:space="preserve"> </w:t>
      </w:r>
    </w:p>
    <w:p w14:paraId="7954DD2B" w14:textId="77777777" w:rsidR="00884ABF" w:rsidRPr="00110631" w:rsidRDefault="00884ABF" w:rsidP="0029073C">
      <w:pPr>
        <w:spacing w:after="0" w:line="240" w:lineRule="auto"/>
        <w:jc w:val="center"/>
        <w:rPr>
          <w:rFonts w:ascii="Times New Roman" w:hAnsi="Times New Roman" w:cs="Times New Roman"/>
          <w:b/>
          <w:iCs/>
          <w:sz w:val="24"/>
          <w:szCs w:val="24"/>
          <w:lang w:val="ro-RO"/>
        </w:rPr>
      </w:pPr>
      <w:r w:rsidRPr="00110631">
        <w:rPr>
          <w:rFonts w:ascii="Times New Roman" w:hAnsi="Times New Roman" w:cs="Times New Roman"/>
          <w:b/>
          <w:iCs/>
          <w:sz w:val="24"/>
          <w:szCs w:val="24"/>
          <w:lang w:val="ro-RO"/>
        </w:rPr>
        <w:t>Direcția arhitectură și urbanism</w:t>
      </w:r>
    </w:p>
    <w:p w14:paraId="6B1D00C4" w14:textId="36357CEF" w:rsidR="005E5BC0" w:rsidRPr="00110631" w:rsidRDefault="00941A47"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 xml:space="preserve"> </w:t>
      </w:r>
      <w:r w:rsidR="005E5BC0" w:rsidRPr="00110631">
        <w:rPr>
          <w:rFonts w:ascii="Times New Roman" w:eastAsia="Times New Roman" w:hAnsi="Times New Roman" w:cs="Times New Roman"/>
          <w:i/>
          <w:sz w:val="24"/>
          <w:szCs w:val="24"/>
          <w:lang w:val="ro-RO" w:eastAsia="ru-RU"/>
        </w:rPr>
        <w:t>(</w:t>
      </w:r>
      <w:r w:rsidR="005E5BC0" w:rsidRPr="00DE71D1">
        <w:rPr>
          <w:rFonts w:ascii="Times New Roman" w:eastAsia="Times New Roman" w:hAnsi="Times New Roman" w:cs="Times New Roman"/>
          <w:i/>
          <w:color w:val="FF0000"/>
          <w:sz w:val="24"/>
          <w:szCs w:val="24"/>
          <w:lang w:val="ro-RO" w:eastAsia="ru-RU"/>
        </w:rPr>
        <w:t xml:space="preserve">1 funcție </w:t>
      </w:r>
      <w:r w:rsidR="00314D89" w:rsidRPr="00DE71D1">
        <w:rPr>
          <w:rFonts w:ascii="Times New Roman" w:eastAsia="Times New Roman" w:hAnsi="Times New Roman" w:cs="Times New Roman"/>
          <w:i/>
          <w:color w:val="FF0000"/>
          <w:sz w:val="24"/>
          <w:szCs w:val="24"/>
          <w:lang w:val="ro-RO" w:eastAsia="ru-RU"/>
        </w:rPr>
        <w:t>publică</w:t>
      </w:r>
      <w:r w:rsidR="00AC6B93" w:rsidRPr="00DE71D1">
        <w:rPr>
          <w:rFonts w:ascii="Times New Roman" w:eastAsia="Times New Roman" w:hAnsi="Times New Roman" w:cs="Times New Roman"/>
          <w:i/>
          <w:color w:val="FF0000"/>
          <w:sz w:val="24"/>
          <w:szCs w:val="24"/>
          <w:lang w:val="ro-RO" w:eastAsia="ru-RU"/>
        </w:rPr>
        <w:t xml:space="preserve"> vacantă</w:t>
      </w:r>
      <w:r w:rsidR="005E5BC0"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110631"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7B4A5CD8" w14:textId="77777777" w:rsidR="0029073C" w:rsidRPr="00110631"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50B5E9BE" w:rsidR="008C7105" w:rsidRPr="00110631" w:rsidRDefault="008C7105" w:rsidP="00391B84">
      <w:pPr>
        <w:spacing w:after="0" w:line="240" w:lineRule="auto"/>
        <w:ind w:firstLine="708"/>
        <w:jc w:val="both"/>
        <w:rPr>
          <w:rFonts w:ascii="Times New Roman" w:eastAsia="Times New Roman" w:hAnsi="Times New Roman" w:cs="Times New Roman"/>
          <w:color w:val="FF0000"/>
          <w:sz w:val="24"/>
          <w:szCs w:val="24"/>
          <w:lang w:val="ro-RO" w:eastAsia="ru-RU"/>
        </w:rPr>
      </w:pPr>
      <w:r w:rsidRPr="00110631">
        <w:rPr>
          <w:rFonts w:ascii="Times New Roman" w:eastAsia="Times New Roman" w:hAnsi="Times New Roman" w:cs="Times New Roman"/>
          <w:sz w:val="24"/>
          <w:szCs w:val="24"/>
          <w:lang w:val="ro-RO" w:eastAsia="ru-RU"/>
        </w:rPr>
        <w:t xml:space="preserve">Asigurarea </w:t>
      </w:r>
      <w:r w:rsidR="00DB518D" w:rsidRPr="00110631">
        <w:rPr>
          <w:rFonts w:ascii="Times New Roman" w:eastAsia="Times New Roman" w:hAnsi="Times New Roman" w:cs="Times New Roman"/>
          <w:sz w:val="24"/>
          <w:szCs w:val="24"/>
          <w:lang w:val="ro-RO" w:eastAsia="ru-RU"/>
        </w:rPr>
        <w:t>funcționării eficiente a activității autorității publice locale în domeniul funiciar în conformitate cu legislația în viroare</w:t>
      </w:r>
      <w:r w:rsidRPr="00110631">
        <w:rPr>
          <w:rFonts w:ascii="Times New Roman" w:eastAsia="Times New Roman" w:hAnsi="Times New Roman" w:cs="Times New Roman"/>
          <w:color w:val="FF0000"/>
          <w:sz w:val="24"/>
          <w:szCs w:val="24"/>
          <w:lang w:val="ro-RO" w:eastAsia="ru-RU"/>
        </w:rPr>
        <w:t>.</w:t>
      </w: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5E16BC70"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Examinarea adresărilor și perfectarea răspunsurilor din domeniul construcțiilor pretins ilegale.</w:t>
      </w:r>
    </w:p>
    <w:p w14:paraId="2947EB88"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construcțiilor pretins ilegale.</w:t>
      </w:r>
    </w:p>
    <w:p w14:paraId="472387E3"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Constatarea contravențiilor în domeniul utilizării terenurilor publice pretins illegal.</w:t>
      </w:r>
    </w:p>
    <w:p w14:paraId="3920F43E"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Contestarea hotărîrilor judecătorești nefavorabile pentru administrația publică locală.</w:t>
      </w:r>
    </w:p>
    <w:p w14:paraId="1A4FBA31" w14:textId="77777777" w:rsidR="00884ABF"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Asigurarea serviciului ”Telefonul cetățeanului”.</w:t>
      </w:r>
    </w:p>
    <w:p w14:paraId="7688ADD8" w14:textId="7FA6B879" w:rsidR="00B01128" w:rsidRPr="00110631" w:rsidRDefault="00884ABF"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sidRPr="00110631">
        <w:rPr>
          <w:rFonts w:ascii="Times New Roman" w:eastAsia="Calibri" w:hAnsi="Times New Roman" w:cs="Times New Roman"/>
          <w:sz w:val="24"/>
          <w:szCs w:val="24"/>
          <w:lang w:val="ro-RO"/>
        </w:rPr>
        <w:t>Elaborarea actelor permisive în construcție în baza deciziilor judecătorești irevocabile.</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6D0778F3"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de regulă în domeniul </w:t>
      </w:r>
      <w:r w:rsidR="00DB518D">
        <w:rPr>
          <w:rFonts w:ascii="Times New Roman" w:eastAsia="Times New Roman" w:hAnsi="Times New Roman" w:cs="Times New Roman"/>
          <w:sz w:val="24"/>
          <w:szCs w:val="24"/>
          <w:lang w:val="it-IT" w:eastAsia="ru-RU"/>
        </w:rPr>
        <w:t xml:space="preserve">administrației </w:t>
      </w:r>
      <w:r w:rsidRPr="001C2343">
        <w:rPr>
          <w:rFonts w:ascii="Times New Roman" w:eastAsia="Times New Roman" w:hAnsi="Times New Roman" w:cs="Times New Roman"/>
          <w:sz w:val="24"/>
          <w:szCs w:val="24"/>
          <w:lang w:val="it-IT" w:eastAsia="ru-RU"/>
        </w:rPr>
        <w:t xml:space="preserve">publice, </w:t>
      </w:r>
      <w:r w:rsidR="00673FC5">
        <w:rPr>
          <w:rFonts w:ascii="Times New Roman" w:eastAsia="Times New Roman" w:hAnsi="Times New Roman" w:cs="Times New Roman"/>
          <w:sz w:val="24"/>
          <w:szCs w:val="24"/>
          <w:lang w:val="it-IT" w:eastAsia="ru-RU"/>
        </w:rPr>
        <w:t>drept</w:t>
      </w:r>
      <w:r w:rsidR="00DB518D">
        <w:rPr>
          <w:rFonts w:ascii="Times New Roman" w:eastAsia="Times New Roman" w:hAnsi="Times New Roman" w:cs="Times New Roman"/>
          <w:sz w:val="24"/>
          <w:szCs w:val="24"/>
          <w:lang w:val="it-IT" w:eastAsia="ru-RU"/>
        </w:rPr>
        <w:t>, cadastru și urbanism</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lastRenderedPageBreak/>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42B78E9E" w14:textId="21703FA2"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59039A">
        <w:rPr>
          <w:rFonts w:ascii="Times New Roman" w:hAnsi="Times New Roman" w:cs="Times New Roman"/>
          <w:b/>
          <w:color w:val="FF0000"/>
          <w:lang w:val="ro-RO"/>
        </w:rPr>
        <w:t>06 septembrie</w:t>
      </w:r>
      <w:r w:rsidRPr="00941A47">
        <w:rPr>
          <w:rFonts w:ascii="Times New Roman" w:hAnsi="Times New Roman" w:cs="Times New Roman"/>
          <w:b/>
          <w:color w:val="FF0000"/>
          <w:lang w:val="ro-RO"/>
        </w:rPr>
        <w:t xml:space="preserve"> 2024</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7325508D"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5D586C0" w14:textId="67F2D968" w:rsidR="0029073C"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lastRenderedPageBreak/>
        <w:t xml:space="preserve">persoana de contact </w:t>
      </w:r>
      <w:r w:rsidRPr="00941A47">
        <w:rPr>
          <w:rFonts w:ascii="Times New Roman" w:hAnsi="Times New Roman" w:cs="Times New Roman"/>
          <w:i/>
          <w:lang w:val="ro-MD"/>
        </w:rPr>
        <w:t>– Maria CIOLAN</w:t>
      </w:r>
      <w:r w:rsidRPr="00941A47">
        <w:rPr>
          <w:rFonts w:ascii="Times New Roman" w:hAnsi="Times New Roman" w:cs="Times New Roman"/>
          <w:lang w:val="ro-MD"/>
        </w:rPr>
        <w:t>, șef Direcția resurse umane (bir. 322)</w:t>
      </w: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44EBD09F" w14:textId="3B70242C" w:rsidR="00DB518D" w:rsidRDefault="00DB518D"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Codul civil</w:t>
      </w:r>
      <w:r w:rsidR="00110631">
        <w:rPr>
          <w:rFonts w:ascii="Times New Roman" w:eastAsia="Times New Roman" w:hAnsi="Times New Roman" w:cs="Times New Roman"/>
          <w:sz w:val="24"/>
          <w:szCs w:val="24"/>
          <w:lang w:val="ro-RO" w:eastAsia="ru-RU"/>
        </w:rPr>
        <w:t>;</w:t>
      </w:r>
    </w:p>
    <w:p w14:paraId="0577D4D7" w14:textId="58287EB4"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administrativ</w:t>
      </w:r>
      <w:r w:rsidR="00110631">
        <w:rPr>
          <w:rFonts w:ascii="Times New Roman" w:eastAsia="Times New Roman" w:hAnsi="Times New Roman" w:cs="Times New Roman"/>
          <w:sz w:val="24"/>
          <w:szCs w:val="24"/>
          <w:lang w:val="ro-RO" w:eastAsia="ru-RU"/>
        </w:rPr>
        <w:t>;</w:t>
      </w:r>
    </w:p>
    <w:p w14:paraId="056A24B4" w14:textId="2491AD9D"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funiciar</w:t>
      </w:r>
      <w:r w:rsidR="00110631">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 xml:space="preserve"> </w:t>
      </w:r>
    </w:p>
    <w:p w14:paraId="57B037CC" w14:textId="03BE1AEF" w:rsidR="00620251" w:rsidRPr="00620251" w:rsidRDefault="00620251" w:rsidP="00DB518D">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 Codul urbasnismului și construcțiilor</w:t>
      </w:r>
      <w:r w:rsidR="00110631">
        <w:rPr>
          <w:rFonts w:ascii="Times New Roman" w:eastAsia="Times New Roman" w:hAnsi="Times New Roman" w:cs="Times New Roman"/>
          <w:sz w:val="24"/>
          <w:szCs w:val="24"/>
          <w:lang w:val="ro-RO" w:eastAsia="ru-RU"/>
        </w:rPr>
        <w:t>;</w:t>
      </w:r>
    </w:p>
    <w:p w14:paraId="75C7F30A" w14:textId="5D7188E7"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nr.1350-XIV din 02.11.2000 cu privire la activitatea arhitecturală</w:t>
      </w:r>
      <w:r w:rsidR="00110631">
        <w:rPr>
          <w:rFonts w:ascii="Times New Roman" w:eastAsia="Times New Roman" w:hAnsi="Times New Roman" w:cs="Times New Roman"/>
          <w:sz w:val="24"/>
          <w:szCs w:val="24"/>
          <w:lang w:val="ro-RO" w:eastAsia="ru-RU"/>
        </w:rPr>
        <w:t>;</w:t>
      </w:r>
    </w:p>
    <w:p w14:paraId="63538EA2" w14:textId="72C72A2E"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nr.721 din 02.02.1996 privind calitatea în construcții;</w:t>
      </w:r>
    </w:p>
    <w:p w14:paraId="5DAA16E1" w14:textId="48FE810D"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nr.20 din 04.03.2016 cu privire la standartizarea națională;</w:t>
      </w:r>
    </w:p>
    <w:p w14:paraId="13F500D8" w14:textId="6ABE2FCC"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 163 din 09.07.2010 privind autorizarea executării lucrărilor de construcție</w:t>
      </w:r>
    </w:p>
    <w:p w14:paraId="2E621BA6" w14:textId="2DA40DD5" w:rsidR="00620251" w:rsidRDefault="00620251"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DC2B9D">
        <w:rPr>
          <w:rFonts w:ascii="Times New Roman" w:eastAsia="Times New Roman" w:hAnsi="Times New Roman" w:cs="Times New Roman"/>
          <w:sz w:val="24"/>
          <w:szCs w:val="24"/>
          <w:lang w:val="ro-RO" w:eastAsia="ru-RU"/>
        </w:rPr>
        <w:t xml:space="preserve"> HG nr. 361 din 25.06.1996 cu privire la asigurarea calității construcțiilor </w:t>
      </w:r>
      <w:r w:rsidR="00110631">
        <w:rPr>
          <w:rFonts w:ascii="Times New Roman" w:eastAsia="Times New Roman" w:hAnsi="Times New Roman" w:cs="Times New Roman"/>
          <w:sz w:val="24"/>
          <w:szCs w:val="24"/>
          <w:lang w:val="ro-RO" w:eastAsia="ru-RU"/>
        </w:rPr>
        <w:t>.</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DE71D1"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DE71D1"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DE71D1"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DE71D1"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DE71D1"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DE71D1"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DE71D1"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DE71D1"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DE71D1"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DE71D1"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DE71D1"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DE71D1"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DE71D1"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DE71D1"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DE71D1"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DE71D1"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DE71D1"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F7FEEBA"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F649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870D3A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75A72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9A876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249DE33"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6DE2B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439EF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DA2362E"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30574E7"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294D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7F5BF0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9AF04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A48C37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47FF3E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BD349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4987EB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942333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B3545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2970D9CA" w14:textId="77777777" w:rsidR="005E5BC0" w:rsidRPr="001C2343" w:rsidRDefault="005E5BC0" w:rsidP="005E5BC0">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p w14:paraId="695FE622" w14:textId="77777777" w:rsidR="005E5BC0" w:rsidRPr="001C2343" w:rsidRDefault="005E5BC0" w:rsidP="005E5BC0">
      <w:pPr>
        <w:shd w:val="clear" w:color="auto" w:fill="FFFFFF"/>
        <w:spacing w:after="0" w:line="240" w:lineRule="auto"/>
        <w:textAlignment w:val="baseline"/>
        <w:rPr>
          <w:rFonts w:ascii="Times New Roman" w:eastAsia="Times New Roman" w:hAnsi="Times New Roman" w:cs="Times New Roman"/>
          <w:sz w:val="24"/>
          <w:szCs w:val="24"/>
          <w:lang w:val="ro-RO" w:eastAsia="ru-RU"/>
        </w:rPr>
      </w:pPr>
    </w:p>
    <w:p w14:paraId="1F0C98B2" w14:textId="77777777" w:rsidR="005E5BC0" w:rsidRPr="001C2343" w:rsidRDefault="005E5BC0" w:rsidP="005E5BC0">
      <w:pPr>
        <w:spacing w:after="0" w:line="240" w:lineRule="auto"/>
        <w:rPr>
          <w:rFonts w:ascii="Times New Roman" w:eastAsia="Times New Roman" w:hAnsi="Times New Roman" w:cs="Times New Roman"/>
          <w:sz w:val="24"/>
          <w:szCs w:val="24"/>
          <w:lang w:val="ru-RU" w:eastAsia="ru-RU"/>
        </w:rPr>
      </w:pPr>
    </w:p>
    <w:p w14:paraId="414A9F2F" w14:textId="77777777" w:rsidR="005E5BC0" w:rsidRPr="001C2343" w:rsidRDefault="005E5BC0" w:rsidP="005E5BC0">
      <w:pPr>
        <w:spacing w:after="0" w:line="240" w:lineRule="auto"/>
        <w:rPr>
          <w:rFonts w:ascii="Times New Roman" w:eastAsia="Times New Roman" w:hAnsi="Times New Roman" w:cs="Times New Roman"/>
          <w:sz w:val="24"/>
          <w:szCs w:val="24"/>
          <w:lang w:val="en-US" w:eastAsia="ru-RU"/>
        </w:rPr>
      </w:pPr>
    </w:p>
    <w:p w14:paraId="66C9A297" w14:textId="77777777" w:rsidR="005E5BC0" w:rsidRPr="001C2343" w:rsidRDefault="005E5BC0" w:rsidP="005E5BC0">
      <w:pPr>
        <w:spacing w:after="0" w:line="240" w:lineRule="auto"/>
        <w:jc w:val="center"/>
        <w:rPr>
          <w:rFonts w:ascii="Times New Roman" w:eastAsia="Times New Roman" w:hAnsi="Times New Roman" w:cs="Times New Roman"/>
          <w:b/>
          <w:lang w:val="en-US" w:eastAsia="ru-RU"/>
        </w:rPr>
      </w:pPr>
    </w:p>
    <w:p w14:paraId="74D458FC" w14:textId="77777777" w:rsidR="0029073C" w:rsidRPr="001C2343" w:rsidRDefault="0029073C" w:rsidP="005E5BC0">
      <w:pPr>
        <w:rPr>
          <w:lang w:val="ro-RO"/>
        </w:rPr>
      </w:pPr>
    </w:p>
    <w:sectPr w:rsidR="0029073C" w:rsidRPr="001C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E2DE4" w14:textId="77777777" w:rsidR="00B95D62" w:rsidRDefault="00B95D62" w:rsidP="0029073C">
      <w:pPr>
        <w:spacing w:after="0" w:line="240" w:lineRule="auto"/>
      </w:pPr>
      <w:r>
        <w:separator/>
      </w:r>
    </w:p>
  </w:endnote>
  <w:endnote w:type="continuationSeparator" w:id="0">
    <w:p w14:paraId="372B08F7" w14:textId="77777777" w:rsidR="00B95D62" w:rsidRDefault="00B95D62"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1C1A" w14:textId="77777777" w:rsidR="00B95D62" w:rsidRDefault="00B95D62" w:rsidP="0029073C">
      <w:pPr>
        <w:spacing w:after="0" w:line="240" w:lineRule="auto"/>
      </w:pPr>
      <w:r>
        <w:separator/>
      </w:r>
    </w:p>
  </w:footnote>
  <w:footnote w:type="continuationSeparator" w:id="0">
    <w:p w14:paraId="7D872B97" w14:textId="77777777" w:rsidR="00B95D62" w:rsidRDefault="00B95D62"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249005114">
    <w:abstractNumId w:val="2"/>
  </w:num>
  <w:num w:numId="2" w16cid:durableId="492844408">
    <w:abstractNumId w:val="8"/>
  </w:num>
  <w:num w:numId="3" w16cid:durableId="1905987287">
    <w:abstractNumId w:val="6"/>
  </w:num>
  <w:num w:numId="4" w16cid:durableId="808278841">
    <w:abstractNumId w:val="9"/>
  </w:num>
  <w:num w:numId="5" w16cid:durableId="422457523">
    <w:abstractNumId w:val="7"/>
  </w:num>
  <w:num w:numId="6" w16cid:durableId="53434211">
    <w:abstractNumId w:val="5"/>
  </w:num>
  <w:num w:numId="7" w16cid:durableId="403727752">
    <w:abstractNumId w:val="3"/>
  </w:num>
  <w:num w:numId="8" w16cid:durableId="1679848861">
    <w:abstractNumId w:val="1"/>
  </w:num>
  <w:num w:numId="9" w16cid:durableId="433743416">
    <w:abstractNumId w:val="4"/>
  </w:num>
  <w:num w:numId="10" w16cid:durableId="108776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51036"/>
    <w:rsid w:val="000E0D76"/>
    <w:rsid w:val="000F79BE"/>
    <w:rsid w:val="00110631"/>
    <w:rsid w:val="001B68F3"/>
    <w:rsid w:val="001C2343"/>
    <w:rsid w:val="0029073C"/>
    <w:rsid w:val="002C5F6B"/>
    <w:rsid w:val="00301334"/>
    <w:rsid w:val="0030161E"/>
    <w:rsid w:val="003047F8"/>
    <w:rsid w:val="00314D89"/>
    <w:rsid w:val="00391B84"/>
    <w:rsid w:val="003B2BA7"/>
    <w:rsid w:val="003B7464"/>
    <w:rsid w:val="00414146"/>
    <w:rsid w:val="004164C3"/>
    <w:rsid w:val="00453ABA"/>
    <w:rsid w:val="004A1C8C"/>
    <w:rsid w:val="004E2A85"/>
    <w:rsid w:val="004E433E"/>
    <w:rsid w:val="00561A6A"/>
    <w:rsid w:val="00577AB9"/>
    <w:rsid w:val="0059039A"/>
    <w:rsid w:val="005E5BC0"/>
    <w:rsid w:val="00620251"/>
    <w:rsid w:val="00624A58"/>
    <w:rsid w:val="00673FC5"/>
    <w:rsid w:val="006B1B8A"/>
    <w:rsid w:val="00752338"/>
    <w:rsid w:val="00860DAF"/>
    <w:rsid w:val="00884ABF"/>
    <w:rsid w:val="008928F6"/>
    <w:rsid w:val="008C7105"/>
    <w:rsid w:val="00941A47"/>
    <w:rsid w:val="009829CE"/>
    <w:rsid w:val="00982CD8"/>
    <w:rsid w:val="00A26B09"/>
    <w:rsid w:val="00A86BC1"/>
    <w:rsid w:val="00A86D91"/>
    <w:rsid w:val="00A95A4F"/>
    <w:rsid w:val="00AC6B93"/>
    <w:rsid w:val="00B01128"/>
    <w:rsid w:val="00B22788"/>
    <w:rsid w:val="00B600F2"/>
    <w:rsid w:val="00B95D62"/>
    <w:rsid w:val="00BA16FF"/>
    <w:rsid w:val="00BB6282"/>
    <w:rsid w:val="00C01BD2"/>
    <w:rsid w:val="00CF73D7"/>
    <w:rsid w:val="00D143FE"/>
    <w:rsid w:val="00D215F7"/>
    <w:rsid w:val="00D30665"/>
    <w:rsid w:val="00D550FD"/>
    <w:rsid w:val="00D85649"/>
    <w:rsid w:val="00DB518D"/>
    <w:rsid w:val="00DC2B9D"/>
    <w:rsid w:val="00DD47D6"/>
    <w:rsid w:val="00DE71D1"/>
    <w:rsid w:val="00E467F9"/>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1474</Words>
  <Characters>8405</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10</cp:revision>
  <cp:lastPrinted>2022-06-09T06:59:00Z</cp:lastPrinted>
  <dcterms:created xsi:type="dcterms:W3CDTF">2024-04-12T08:37:00Z</dcterms:created>
  <dcterms:modified xsi:type="dcterms:W3CDTF">2024-08-15T13:20:00Z</dcterms:modified>
</cp:coreProperties>
</file>